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90BD" w14:textId="77777777" w:rsidR="002D55DB" w:rsidRDefault="003B1ECD">
      <w:pPr>
        <w:spacing w:after="279" w:line="254" w:lineRule="auto"/>
        <w:ind w:left="627" w:right="31" w:hanging="614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3F2963" wp14:editId="27B1A497">
                <wp:simplePos x="0" y="0"/>
                <wp:positionH relativeFrom="column">
                  <wp:posOffset>-86360</wp:posOffset>
                </wp:positionH>
                <wp:positionV relativeFrom="paragraph">
                  <wp:posOffset>-146050</wp:posOffset>
                </wp:positionV>
                <wp:extent cx="5364480" cy="688975"/>
                <wp:effectExtent l="0" t="0" r="0" b="0"/>
                <wp:wrapNone/>
                <wp:docPr id="715" name="Group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688975"/>
                          <a:chOff x="0" y="0"/>
                          <a:chExt cx="5364480" cy="6889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36448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0" h="688975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  <a:cubicBezTo>
                                  <a:pt x="5364480" y="0"/>
                                  <a:pt x="5364480" y="152400"/>
                                  <a:pt x="5364480" y="152400"/>
                                </a:cubicBezTo>
                                <a:lnTo>
                                  <a:pt x="5364480" y="536575"/>
                                </a:lnTo>
                                <a:cubicBezTo>
                                  <a:pt x="5364480" y="688975"/>
                                  <a:pt x="5212080" y="688975"/>
                                  <a:pt x="5212080" y="688975"/>
                                </a:cubicBez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36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59F3D" id="Group 715" o:spid="_x0000_s1026" style="position:absolute;margin-left:-6.8pt;margin-top:-11.5pt;width:422.4pt;height:54.25pt;z-index:-251658240" coordsize="53644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">
                <v:shape id="Shape 6" o:spid="_x0000_s1027" style="position:absolute;width:53644;height:6889;visibility:visible;mso-wrap-style:square;v-text-anchor:top" coordsize="5364480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" path="m,l5212080,v152400,,152400,152400,152400,152400l5364480,536575v,152400,-152400,152400,-152400,152400l,688975,,xe" fillcolor="#373659" stroked="f" strokeweight="0">
                  <v:stroke miterlimit="83231f" joinstyle="miter"/>
                  <v:path arrowok="t" textboxrect="0,0,5364480,688975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83B6710" wp14:editId="39ED7D3F">
            <wp:simplePos x="0" y="0"/>
            <wp:positionH relativeFrom="column">
              <wp:posOffset>5433961</wp:posOffset>
            </wp:positionH>
            <wp:positionV relativeFrom="paragraph">
              <wp:posOffset>-30010</wp:posOffset>
            </wp:positionV>
            <wp:extent cx="1432560" cy="54580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54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EFD"/>
          <w:sz w:val="28"/>
        </w:rPr>
        <w:t xml:space="preserve">Criminal Background Screenings and Employment </w:t>
      </w:r>
      <w:r>
        <w:rPr>
          <w:color w:val="FFFEFD"/>
          <w:sz w:val="29"/>
        </w:rPr>
        <w:t>- Notice of the Right to File a Complaint -</w:t>
      </w:r>
    </w:p>
    <w:p w14:paraId="228F71DD" w14:textId="77777777" w:rsidR="002D55DB" w:rsidRDefault="003B1ECD">
      <w:pPr>
        <w:spacing w:after="303" w:line="259" w:lineRule="auto"/>
        <w:ind w:left="0" w:right="17" w:firstLine="0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updated</w:t>
      </w:r>
      <w:proofErr w:type="gramEnd"/>
      <w:r>
        <w:rPr>
          <w:sz w:val="20"/>
        </w:rPr>
        <w:t xml:space="preserve"> December 11, 2014)</w:t>
      </w:r>
      <w:bookmarkStart w:id="0" w:name="_GoBack"/>
      <w:bookmarkEnd w:id="0"/>
    </w:p>
    <w:p w14:paraId="740FDE89" w14:textId="77777777" w:rsidR="002D55DB" w:rsidRDefault="003B1ECD">
      <w:pPr>
        <w:ind w:left="8" w:right="16"/>
      </w:pPr>
      <w:r>
        <w:t>The District of Columbia Fair Screening Amendment Act of 2014 only allows businesses to withdraw a conditional job offer or take an adverse action because of an applicant’s criminal conviction(s) for a legitimate business reason. Your conditional job offer was revoked based on a review of your past criminal conviction(s). This decision must be considered reasonable in light of six factors.*</w:t>
      </w:r>
    </w:p>
    <w:p w14:paraId="1FD910E7" w14:textId="77777777" w:rsidR="002D55DB" w:rsidRDefault="003B1ECD">
      <w:pPr>
        <w:ind w:left="8" w:right="16"/>
      </w:pPr>
      <w:r>
        <w:t>If you believe your job offer was improperly revoked based on the employer’s review of your criminal conviction, you have the right to:</w:t>
      </w:r>
    </w:p>
    <w:p w14:paraId="656A2D61" w14:textId="77777777" w:rsidR="002D55DB" w:rsidRDefault="003B1ECD">
      <w:pPr>
        <w:numPr>
          <w:ilvl w:val="0"/>
          <w:numId w:val="1"/>
        </w:numPr>
        <w:ind w:left="494" w:right="16" w:hanging="221"/>
      </w:pPr>
      <w:r>
        <w:t>Within 30 days of the action, request from the employer a copy of all records related to the consideration of your application, including your criminal record. The file must then be provided to you within 30 days of your request.</w:t>
      </w:r>
    </w:p>
    <w:p w14:paraId="355BDCAC" w14:textId="77777777" w:rsidR="002D55DB" w:rsidRDefault="003B1ECD">
      <w:pPr>
        <w:numPr>
          <w:ilvl w:val="0"/>
          <w:numId w:val="1"/>
        </w:numPr>
        <w:ind w:left="494" w:right="16" w:hanging="221"/>
      </w:pPr>
      <w:r>
        <w:t>File a complaint with the District of Columbia Office of Human Rights (OHR). It is cost-free and does not require an attorney. OHR will review the facts related to the business’ decision, and may initiate a mediation and investigation.</w:t>
      </w:r>
    </w:p>
    <w:p w14:paraId="202D84AF" w14:textId="77777777" w:rsidR="002D55DB" w:rsidRDefault="003B1ECD">
      <w:pPr>
        <w:ind w:left="8" w:right="16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EAA8B6" wp14:editId="53572B41">
                <wp:simplePos x="0" y="0"/>
                <wp:positionH relativeFrom="page">
                  <wp:posOffset>0</wp:posOffset>
                </wp:positionH>
                <wp:positionV relativeFrom="page">
                  <wp:posOffset>9278620</wp:posOffset>
                </wp:positionV>
                <wp:extent cx="7772400" cy="25400"/>
                <wp:effectExtent l="0" t="0" r="0" b="0"/>
                <wp:wrapTopAndBottom/>
                <wp:docPr id="717" name="Group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3736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" style="width:612pt;height:2pt;position:absolute;mso-position-horizontal-relative:page;mso-position-horizontal:absolute;margin-left:0pt;mso-position-vertical-relative:page;margin-top:730.6pt;" coordsize="77724,254">
                <v:shape id="Shape 11" style="position:absolute;width:77724;height:0;left:0;top:0;" coordsize="7772400,0" path="m7772400,0l0,0">
                  <v:stroke weight="2pt" endcap="flat" joinstyle="miter" miterlimit="4" on="true" color="#373659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Complaints must be filed with OHR within one year of the adverse action, and can be filed online at ohr.dc.gov/page/complaints, or at 441 4th Street NW, Suite 570N, Washington, DC, 20010. </w:t>
      </w:r>
    </w:p>
    <w:p w14:paraId="0D47EB05" w14:textId="77777777" w:rsidR="002D55DB" w:rsidRDefault="003B1ECD">
      <w:pPr>
        <w:ind w:left="8" w:right="16"/>
      </w:pPr>
      <w:r>
        <w:t xml:space="preserve">Penalties can be imposed against the business if a violation is found, with half the penalty being awarded to you as the applicant and the other half to the District of Columbia government. </w:t>
      </w:r>
    </w:p>
    <w:p w14:paraId="1B0FD032" w14:textId="77777777" w:rsidR="002D55DB" w:rsidRDefault="003B1ECD">
      <w:pPr>
        <w:spacing w:after="2418"/>
        <w:ind w:left="8" w:right="16"/>
      </w:pPr>
      <w:r>
        <w:t xml:space="preserve">For more information about your rights under the Fair Criminal Record Screening Amendment Act or about the </w:t>
      </w:r>
      <w:proofErr w:type="gramStart"/>
      <w:r>
        <w:t>complaint</w:t>
      </w:r>
      <w:proofErr w:type="gramEnd"/>
      <w:r>
        <w:t xml:space="preserve"> process at OHR, visit ohr.dc.gov/page/</w:t>
      </w:r>
      <w:proofErr w:type="spellStart"/>
      <w:r>
        <w:t>returningcitizens</w:t>
      </w:r>
      <w:proofErr w:type="spellEnd"/>
      <w:r>
        <w:t xml:space="preserve"> or call 202.727.4559. </w:t>
      </w:r>
    </w:p>
    <w:p w14:paraId="48B2DC8A" w14:textId="77777777" w:rsidR="002D55DB" w:rsidRDefault="003B1ECD">
      <w:pPr>
        <w:spacing w:after="509" w:line="235" w:lineRule="auto"/>
        <w:ind w:left="345" w:right="0" w:hanging="140"/>
      </w:pPr>
      <w:r>
        <w:rPr>
          <w:sz w:val="17"/>
        </w:rPr>
        <w:t>* The employer’s legitimate business reason must be reasonable in light of the following factors: A reasonable business purpose must be determined using six factors: (1) Specific duties and responsibilities necessarily related to the employment; (2) Fitness or ability to perform one or more job duties or responsibilities given the offense; (3) Time elapsed since the offense; (4) Age of the applicant when the offense occurred; (5) Frequency and seriousness of the offense; and (6) Any information about the applicant that indicates rehabilitation or good conduct since the offense occurred.</w:t>
      </w:r>
    </w:p>
    <w:p w14:paraId="10C373D3" w14:textId="77777777" w:rsidR="002D55DB" w:rsidRDefault="003B1ECD">
      <w:pPr>
        <w:spacing w:before="72" w:after="0" w:line="254" w:lineRule="auto"/>
        <w:ind w:left="0" w:right="0" w:firstLine="0"/>
        <w:jc w:val="center"/>
      </w:pPr>
      <w:r>
        <w:rPr>
          <w:color w:val="373659"/>
          <w:sz w:val="18"/>
        </w:rPr>
        <w:t>Learn more at ohr.dc.gov/page/</w:t>
      </w:r>
      <w:proofErr w:type="spellStart"/>
      <w:r>
        <w:rPr>
          <w:color w:val="373659"/>
          <w:sz w:val="18"/>
        </w:rPr>
        <w:t>returningcitizens</w:t>
      </w:r>
      <w:proofErr w:type="spellEnd"/>
      <w:r>
        <w:rPr>
          <w:color w:val="373659"/>
          <w:sz w:val="18"/>
        </w:rPr>
        <w:t xml:space="preserve">    441 4th Street NW, Suite 570N, Washington, DC 20010    (202) 727-4559 </w:t>
      </w:r>
      <w:r>
        <w:rPr>
          <w:color w:val="373659"/>
          <w:sz w:val="19"/>
        </w:rPr>
        <w:t>facebook.com/</w:t>
      </w:r>
      <w:proofErr w:type="spellStart"/>
      <w:r>
        <w:rPr>
          <w:color w:val="373659"/>
          <w:sz w:val="19"/>
        </w:rPr>
        <w:t>dcohr</w:t>
      </w:r>
      <w:proofErr w:type="spellEnd"/>
      <w:r>
        <w:rPr>
          <w:color w:val="373659"/>
          <w:sz w:val="19"/>
        </w:rPr>
        <w:t xml:space="preserve">           twitter.com/</w:t>
      </w:r>
      <w:proofErr w:type="spellStart"/>
      <w:r>
        <w:rPr>
          <w:color w:val="373659"/>
          <w:sz w:val="19"/>
        </w:rPr>
        <w:t>dchumanrights</w:t>
      </w:r>
      <w:proofErr w:type="spellEnd"/>
      <w:r>
        <w:rPr>
          <w:color w:val="373659"/>
          <w:sz w:val="19"/>
        </w:rPr>
        <w:t xml:space="preserve">           instagram.com/</w:t>
      </w:r>
      <w:proofErr w:type="spellStart"/>
      <w:r>
        <w:rPr>
          <w:color w:val="373659"/>
          <w:sz w:val="19"/>
        </w:rPr>
        <w:t>dchumanrights</w:t>
      </w:r>
      <w:proofErr w:type="spellEnd"/>
    </w:p>
    <w:sectPr w:rsidR="002D55DB">
      <w:pgSz w:w="12240" w:h="15840"/>
      <w:pgMar w:top="1440" w:right="689" w:bottom="1440" w:left="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666AA"/>
    <w:multiLevelType w:val="hybridMultilevel"/>
    <w:tmpl w:val="C6AA1160"/>
    <w:lvl w:ilvl="0" w:tplc="01543036">
      <w:start w:val="1"/>
      <w:numFmt w:val="bullet"/>
      <w:lvlText w:val="•"/>
      <w:lvlJc w:val="left"/>
      <w:pPr>
        <w:ind w:left="4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0EAA4">
      <w:start w:val="1"/>
      <w:numFmt w:val="bullet"/>
      <w:lvlText w:val="o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989E">
      <w:start w:val="1"/>
      <w:numFmt w:val="bullet"/>
      <w:lvlText w:val="▪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66CD2">
      <w:start w:val="1"/>
      <w:numFmt w:val="bullet"/>
      <w:lvlText w:val="•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7D7E">
      <w:start w:val="1"/>
      <w:numFmt w:val="bullet"/>
      <w:lvlText w:val="o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C204A">
      <w:start w:val="1"/>
      <w:numFmt w:val="bullet"/>
      <w:lvlText w:val="▪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ECA18">
      <w:start w:val="1"/>
      <w:numFmt w:val="bullet"/>
      <w:lvlText w:val="•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4D548">
      <w:start w:val="1"/>
      <w:numFmt w:val="bullet"/>
      <w:lvlText w:val="o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AE7C0">
      <w:start w:val="1"/>
      <w:numFmt w:val="bullet"/>
      <w:lvlText w:val="▪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B"/>
    <w:rsid w:val="00073022"/>
    <w:rsid w:val="002D55DB"/>
    <w:rsid w:val="003B1ECD"/>
    <w:rsid w:val="008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006E"/>
  <w15:docId w15:val="{32D98EC8-D60B-4928-8AC4-DE395B1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8" w:line="236" w:lineRule="auto"/>
      <w:ind w:left="23" w:right="30" w:hanging="10"/>
      <w:jc w:val="both"/>
    </w:pPr>
    <w:rPr>
      <w:rFonts w:ascii="Calibri" w:eastAsia="Calibri" w:hAnsi="Calibri" w:cs="Calibri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 La Cruz</dc:creator>
  <cp:keywords/>
  <cp:lastModifiedBy>Katrina Adams</cp:lastModifiedBy>
  <cp:revision>3</cp:revision>
  <dcterms:created xsi:type="dcterms:W3CDTF">2018-12-27T19:45:00Z</dcterms:created>
  <dcterms:modified xsi:type="dcterms:W3CDTF">2019-03-29T19:24:00Z</dcterms:modified>
</cp:coreProperties>
</file>